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1F" w:rsidRPr="0006288F" w:rsidRDefault="0095151F" w:rsidP="007565B8">
      <w:pPr>
        <w:spacing w:after="0" w:line="360" w:lineRule="auto"/>
        <w:jc w:val="both"/>
        <w:rPr>
          <w:rFonts w:ascii="Garamond" w:hAnsi="Garamond" w:cs="Garamond"/>
        </w:rPr>
      </w:pPr>
    </w:p>
    <w:p w:rsidR="0095151F" w:rsidRPr="0006288F" w:rsidRDefault="0095151F" w:rsidP="007565B8">
      <w:pPr>
        <w:spacing w:after="0" w:line="360" w:lineRule="auto"/>
        <w:jc w:val="both"/>
        <w:rPr>
          <w:rFonts w:ascii="Garamond" w:hAnsi="Garamond" w:cs="Garamond"/>
        </w:rPr>
      </w:pPr>
      <w:r w:rsidRPr="0006288F">
        <w:rPr>
          <w:rFonts w:ascii="Garamond" w:hAnsi="Garamond" w:cs="Garamond"/>
        </w:rPr>
        <w:t>201</w:t>
      </w:r>
      <w:r w:rsidR="001032D8">
        <w:rPr>
          <w:rFonts w:ascii="Garamond" w:hAnsi="Garamond" w:cs="Garamond"/>
        </w:rPr>
        <w:t xml:space="preserve">6. október 27-én és </w:t>
      </w:r>
      <w:proofErr w:type="gramStart"/>
      <w:r w:rsidR="001032D8">
        <w:rPr>
          <w:rFonts w:ascii="Garamond" w:hAnsi="Garamond" w:cs="Garamond"/>
        </w:rPr>
        <w:t xml:space="preserve">28-án </w:t>
      </w:r>
      <w:r w:rsidRPr="0006288F">
        <w:rPr>
          <w:rFonts w:ascii="Garamond" w:hAnsi="Garamond" w:cs="Garamond"/>
        </w:rPr>
        <w:t xml:space="preserve"> a</w:t>
      </w:r>
      <w:proofErr w:type="gramEnd"/>
      <w:r w:rsidRPr="0006288F">
        <w:rPr>
          <w:rFonts w:ascii="Garamond" w:hAnsi="Garamond" w:cs="Garamond"/>
        </w:rPr>
        <w:t xml:space="preserve"> Debreceni Egyetem BTK Filozófia Intézete és az MTA BTK Filozófiai Kutatóintézetének Hermeneutikai Kutatócsoportja Debrecenben </w:t>
      </w:r>
      <w:r w:rsidR="001032D8">
        <w:rPr>
          <w:rFonts w:ascii="Garamond" w:hAnsi="Garamond" w:cs="Garamond"/>
        </w:rPr>
        <w:t>konferenciát rendez</w:t>
      </w:r>
    </w:p>
    <w:p w:rsidR="0095151F" w:rsidRPr="0006288F" w:rsidRDefault="0095151F" w:rsidP="007565B8">
      <w:pPr>
        <w:spacing w:after="0" w:line="360" w:lineRule="auto"/>
        <w:jc w:val="both"/>
        <w:rPr>
          <w:rFonts w:ascii="Garamond" w:hAnsi="Garamond" w:cs="Garamond"/>
        </w:rPr>
      </w:pPr>
    </w:p>
    <w:p w:rsidR="0095151F" w:rsidRPr="0006288F" w:rsidRDefault="0095151F" w:rsidP="007565B8">
      <w:pPr>
        <w:spacing w:after="0" w:line="360" w:lineRule="auto"/>
        <w:jc w:val="center"/>
        <w:rPr>
          <w:rFonts w:ascii="Garamond" w:hAnsi="Garamond" w:cs="Garamond"/>
          <w:b/>
          <w:bCs/>
        </w:rPr>
      </w:pPr>
      <w:r w:rsidRPr="0006288F">
        <w:rPr>
          <w:rFonts w:ascii="Garamond" w:hAnsi="Garamond" w:cs="Garamond"/>
          <w:b/>
          <w:bCs/>
        </w:rPr>
        <w:t>A TANÚSÍTÁS</w:t>
      </w:r>
    </w:p>
    <w:p w:rsidR="0095151F" w:rsidRPr="0006288F" w:rsidRDefault="0095151F" w:rsidP="007565B8">
      <w:pPr>
        <w:spacing w:after="0" w:line="360" w:lineRule="auto"/>
        <w:jc w:val="both"/>
        <w:rPr>
          <w:rFonts w:ascii="Garamond" w:hAnsi="Garamond" w:cs="Garamond"/>
        </w:rPr>
      </w:pPr>
    </w:p>
    <w:p w:rsidR="0095151F" w:rsidRDefault="0095151F" w:rsidP="007565B8">
      <w:pPr>
        <w:spacing w:after="0" w:line="360" w:lineRule="auto"/>
        <w:jc w:val="both"/>
        <w:rPr>
          <w:rFonts w:ascii="Garamond" w:hAnsi="Garamond" w:cs="Garamond"/>
        </w:rPr>
      </w:pPr>
      <w:proofErr w:type="gramStart"/>
      <w:r w:rsidRPr="0006288F">
        <w:rPr>
          <w:rFonts w:ascii="Garamond" w:hAnsi="Garamond" w:cs="Garamond"/>
        </w:rPr>
        <w:t>címmel</w:t>
      </w:r>
      <w:proofErr w:type="gramEnd"/>
      <w:r w:rsidRPr="0006288F">
        <w:rPr>
          <w:rFonts w:ascii="Garamond" w:hAnsi="Garamond" w:cs="Garamond"/>
        </w:rPr>
        <w:t xml:space="preserve">. Konferenciánk a </w:t>
      </w:r>
      <w:r w:rsidRPr="0006288F">
        <w:rPr>
          <w:rFonts w:ascii="Garamond" w:hAnsi="Garamond" w:cs="Garamond"/>
          <w:b/>
          <w:bCs/>
        </w:rPr>
        <w:t>tanúsítás</w:t>
      </w:r>
      <w:r w:rsidRPr="0006288F">
        <w:rPr>
          <w:rFonts w:ascii="Garamond" w:hAnsi="Garamond" w:cs="Garamond"/>
        </w:rPr>
        <w:t xml:space="preserve"> kérdéskörére, valamint a </w:t>
      </w:r>
      <w:r w:rsidRPr="0006288F">
        <w:rPr>
          <w:rFonts w:ascii="Garamond" w:hAnsi="Garamond" w:cs="Garamond"/>
          <w:b/>
          <w:bCs/>
        </w:rPr>
        <w:t>tanúsítás</w:t>
      </w:r>
      <w:r w:rsidRPr="0006288F">
        <w:rPr>
          <w:rFonts w:ascii="Garamond" w:hAnsi="Garamond" w:cs="Garamond"/>
        </w:rPr>
        <w:t xml:space="preserve"> és a </w:t>
      </w:r>
      <w:r w:rsidRPr="0006288F">
        <w:rPr>
          <w:rFonts w:ascii="Garamond" w:hAnsi="Garamond" w:cs="Garamond"/>
          <w:b/>
          <w:bCs/>
        </w:rPr>
        <w:t>lehetőség</w:t>
      </w:r>
      <w:r w:rsidRPr="0006288F">
        <w:rPr>
          <w:rFonts w:ascii="Garamond" w:hAnsi="Garamond" w:cs="Garamond"/>
        </w:rPr>
        <w:t xml:space="preserve"> találkozási vagy ü</w:t>
      </w:r>
      <w:r w:rsidRPr="0006288F">
        <w:rPr>
          <w:rFonts w:ascii="Garamond" w:hAnsi="Garamond" w:cs="Garamond"/>
        </w:rPr>
        <w:t>t</w:t>
      </w:r>
      <w:r w:rsidRPr="0006288F">
        <w:rPr>
          <w:rFonts w:ascii="Garamond" w:hAnsi="Garamond" w:cs="Garamond"/>
        </w:rPr>
        <w:t xml:space="preserve">közési pontjaira szeretné ráirányítani a figyelmet. Arra a pontra, ahol egy addig nem látott és nem remélt – lehetségesnek nem tartott – dolog vagy esemény mégis </w:t>
      </w:r>
      <w:proofErr w:type="spellStart"/>
      <w:r w:rsidRPr="0006288F">
        <w:rPr>
          <w:rFonts w:ascii="Garamond" w:hAnsi="Garamond" w:cs="Garamond"/>
        </w:rPr>
        <w:t>faktuálisan</w:t>
      </w:r>
      <w:proofErr w:type="spellEnd"/>
      <w:r w:rsidRPr="0006288F">
        <w:rPr>
          <w:rFonts w:ascii="Garamond" w:hAnsi="Garamond" w:cs="Garamond"/>
        </w:rPr>
        <w:t xml:space="preserve"> megmutatkozik. Olyan kérdéseket r</w:t>
      </w:r>
      <w:r w:rsidRPr="0006288F">
        <w:rPr>
          <w:rFonts w:ascii="Garamond" w:hAnsi="Garamond" w:cs="Garamond"/>
        </w:rPr>
        <w:t>e</w:t>
      </w:r>
      <w:r w:rsidRPr="0006288F">
        <w:rPr>
          <w:rFonts w:ascii="Garamond" w:hAnsi="Garamond" w:cs="Garamond"/>
        </w:rPr>
        <w:t>mélünk az előadásokkal fókuszpontba állítani, mint például: mikor kezdett el valami lehetségesnek tűnni, függetlenül attól, hogy valósággá tudott-e válni később, vagy, ellenkezőleg, mikor lesz valami mégis lehe</w:t>
      </w:r>
      <w:r w:rsidRPr="0006288F">
        <w:rPr>
          <w:rFonts w:ascii="Garamond" w:hAnsi="Garamond" w:cs="Garamond"/>
        </w:rPr>
        <w:t>t</w:t>
      </w:r>
      <w:r w:rsidRPr="0006288F">
        <w:rPr>
          <w:rFonts w:ascii="Garamond" w:hAnsi="Garamond" w:cs="Garamond"/>
        </w:rPr>
        <w:t>séges annak ellenére, hogy úgy véljük: ez nem az az eset, amiből valóság lehet bármikor. Előbbit az „elsz</w:t>
      </w:r>
      <w:r w:rsidRPr="0006288F">
        <w:rPr>
          <w:rFonts w:ascii="Garamond" w:hAnsi="Garamond" w:cs="Garamond"/>
        </w:rPr>
        <w:t>a</w:t>
      </w:r>
      <w:r w:rsidRPr="0006288F">
        <w:rPr>
          <w:rFonts w:ascii="Garamond" w:hAnsi="Garamond" w:cs="Garamond"/>
        </w:rPr>
        <w:t xml:space="preserve">lasztott lehetőség” eseteként ismerjük, utóbbit a „nem remélt lehetőség” eseteként. Mindkettőben jelen van a tanúsítás mozzanata, azé, ami a </w:t>
      </w:r>
      <w:r w:rsidRPr="0006288F">
        <w:rPr>
          <w:rFonts w:ascii="Garamond" w:hAnsi="Garamond" w:cs="Garamond"/>
          <w:b/>
          <w:bCs/>
        </w:rPr>
        <w:t>lehetőséget</w:t>
      </w:r>
      <w:r w:rsidRPr="0006288F">
        <w:rPr>
          <w:rFonts w:ascii="Garamond" w:hAnsi="Garamond" w:cs="Garamond"/>
        </w:rPr>
        <w:t xml:space="preserve"> a </w:t>
      </w:r>
      <w:r w:rsidRPr="0006288F">
        <w:rPr>
          <w:rFonts w:ascii="Garamond" w:hAnsi="Garamond" w:cs="Garamond"/>
          <w:b/>
          <w:bCs/>
        </w:rPr>
        <w:t>ténylegesség</w:t>
      </w:r>
      <w:r w:rsidRPr="0006288F">
        <w:rPr>
          <w:rFonts w:ascii="Garamond" w:hAnsi="Garamond" w:cs="Garamond"/>
        </w:rPr>
        <w:t xml:space="preserve"> felé mozdítja el, ám anélkül, hogy eg</w:t>
      </w:r>
      <w:r w:rsidRPr="0006288F">
        <w:rPr>
          <w:rFonts w:ascii="Garamond" w:hAnsi="Garamond" w:cs="Garamond"/>
        </w:rPr>
        <w:t>y</w:t>
      </w:r>
      <w:r w:rsidRPr="0006288F">
        <w:rPr>
          <w:rFonts w:ascii="Garamond" w:hAnsi="Garamond" w:cs="Garamond"/>
        </w:rPr>
        <w:t xml:space="preserve">szersmind kezeskedne majdani </w:t>
      </w:r>
      <w:r w:rsidRPr="0006288F">
        <w:rPr>
          <w:rFonts w:ascii="Garamond" w:hAnsi="Garamond" w:cs="Garamond"/>
          <w:b/>
          <w:bCs/>
        </w:rPr>
        <w:t>valósággá válása</w:t>
      </w:r>
      <w:r w:rsidRPr="0006288F">
        <w:rPr>
          <w:rFonts w:ascii="Garamond" w:hAnsi="Garamond" w:cs="Garamond"/>
        </w:rPr>
        <w:t xml:space="preserve"> felől. Mindez csak egyetlen (fenomenológiai) példa a t</w:t>
      </w:r>
      <w:r w:rsidRPr="0006288F">
        <w:rPr>
          <w:rFonts w:ascii="Garamond" w:hAnsi="Garamond" w:cs="Garamond"/>
        </w:rPr>
        <w:t>a</w:t>
      </w:r>
      <w:r w:rsidRPr="0006288F">
        <w:rPr>
          <w:rFonts w:ascii="Garamond" w:hAnsi="Garamond" w:cs="Garamond"/>
        </w:rPr>
        <w:t xml:space="preserve">núsításra, mely más értelemben és összefüggésben a vallás, a pszichológia, a történettudomány, az esztétika vagy éppen az irodalom és a különböző művészeti formák területén jó néhány alakváltozatban felbukkan. Vajon igaz-e az, hogy az említett tudásformákban, </w:t>
      </w:r>
      <w:proofErr w:type="spellStart"/>
      <w:r w:rsidRPr="0006288F">
        <w:rPr>
          <w:rFonts w:ascii="Garamond" w:hAnsi="Garamond" w:cs="Garamond"/>
        </w:rPr>
        <w:t>diszkurzív</w:t>
      </w:r>
      <w:proofErr w:type="spellEnd"/>
      <w:r w:rsidRPr="0006288F">
        <w:rPr>
          <w:rFonts w:ascii="Garamond" w:hAnsi="Garamond" w:cs="Garamond"/>
        </w:rPr>
        <w:t xml:space="preserve"> rendekben a tanúsítás/tanúság dilemmája a </w:t>
      </w:r>
      <w:r w:rsidRPr="0006288F">
        <w:rPr>
          <w:rFonts w:ascii="Garamond" w:hAnsi="Garamond" w:cs="Garamond"/>
          <w:b/>
          <w:bCs/>
        </w:rPr>
        <w:t>paradoxon</w:t>
      </w:r>
      <w:r w:rsidRPr="0006288F">
        <w:rPr>
          <w:rFonts w:ascii="Garamond" w:hAnsi="Garamond" w:cs="Garamond"/>
        </w:rPr>
        <w:t xml:space="preserve">, a </w:t>
      </w:r>
      <w:r w:rsidRPr="0006288F">
        <w:rPr>
          <w:rFonts w:ascii="Garamond" w:hAnsi="Garamond" w:cs="Garamond"/>
          <w:b/>
          <w:bCs/>
        </w:rPr>
        <w:t>krízis</w:t>
      </w:r>
      <w:r w:rsidRPr="0006288F">
        <w:rPr>
          <w:rFonts w:ascii="Garamond" w:hAnsi="Garamond" w:cs="Garamond"/>
        </w:rPr>
        <w:t xml:space="preserve"> és az </w:t>
      </w:r>
      <w:proofErr w:type="spellStart"/>
      <w:r w:rsidRPr="0006288F">
        <w:rPr>
          <w:rFonts w:ascii="Garamond" w:hAnsi="Garamond" w:cs="Garamond"/>
          <w:b/>
          <w:bCs/>
        </w:rPr>
        <w:t>apória</w:t>
      </w:r>
      <w:proofErr w:type="spellEnd"/>
      <w:r w:rsidRPr="0006288F">
        <w:rPr>
          <w:rFonts w:ascii="Garamond" w:hAnsi="Garamond" w:cs="Garamond"/>
        </w:rPr>
        <w:t xml:space="preserve"> alakzatához kötődik, merthogy a tanúságtevő egyfelől szeretné önnön </w:t>
      </w:r>
      <w:proofErr w:type="spellStart"/>
      <w:r w:rsidRPr="0006288F">
        <w:rPr>
          <w:rFonts w:ascii="Garamond" w:hAnsi="Garamond" w:cs="Garamond"/>
          <w:b/>
          <w:bCs/>
        </w:rPr>
        <w:t>episztemikus</w:t>
      </w:r>
      <w:proofErr w:type="spellEnd"/>
      <w:r w:rsidRPr="0006288F">
        <w:rPr>
          <w:rFonts w:ascii="Garamond" w:hAnsi="Garamond" w:cs="Garamond"/>
          <w:b/>
          <w:bCs/>
        </w:rPr>
        <w:t xml:space="preserve"> kompetenciá</w:t>
      </w:r>
      <w:r w:rsidRPr="0006288F">
        <w:rPr>
          <w:rFonts w:ascii="Garamond" w:hAnsi="Garamond" w:cs="Garamond"/>
        </w:rPr>
        <w:t xml:space="preserve">jának birtokában másokkal megosztani azt, amit megtudott, látott, érzékelt, másfelől ez a tudása szükségképpen s végérvényesen </w:t>
      </w:r>
      <w:r w:rsidRPr="0006288F">
        <w:rPr>
          <w:rFonts w:ascii="Garamond" w:hAnsi="Garamond" w:cs="Garamond"/>
          <w:b/>
          <w:bCs/>
        </w:rPr>
        <w:t>titok</w:t>
      </w:r>
      <w:r w:rsidRPr="0006288F">
        <w:rPr>
          <w:rFonts w:ascii="Garamond" w:hAnsi="Garamond" w:cs="Garamond"/>
        </w:rPr>
        <w:t xml:space="preserve"> marad? A tanú, tanúsító vagy tanúságtevő ig</w:t>
      </w:r>
      <w:r w:rsidRPr="0006288F">
        <w:rPr>
          <w:rFonts w:ascii="Garamond" w:hAnsi="Garamond" w:cs="Garamond"/>
        </w:rPr>
        <w:t>a</w:t>
      </w:r>
      <w:r w:rsidRPr="0006288F">
        <w:rPr>
          <w:rFonts w:ascii="Garamond" w:hAnsi="Garamond" w:cs="Garamond"/>
        </w:rPr>
        <w:t xml:space="preserve">zsága végső soron megközelíthetetlen. Tapasztalata a szavak által közölhetetlen marad. </w:t>
      </w:r>
      <w:proofErr w:type="spellStart"/>
      <w:r w:rsidRPr="0006288F">
        <w:rPr>
          <w:rFonts w:ascii="Garamond" w:hAnsi="Garamond" w:cs="Garamond"/>
        </w:rPr>
        <w:t>Derrida</w:t>
      </w:r>
      <w:proofErr w:type="spellEnd"/>
      <w:r w:rsidRPr="0006288F">
        <w:rPr>
          <w:rFonts w:ascii="Garamond" w:hAnsi="Garamond" w:cs="Garamond"/>
        </w:rPr>
        <w:t xml:space="preserve"> </w:t>
      </w:r>
      <w:proofErr w:type="gramStart"/>
      <w:r w:rsidRPr="0006288F">
        <w:rPr>
          <w:rFonts w:ascii="Garamond" w:hAnsi="Garamond" w:cs="Garamond"/>
          <w:i/>
          <w:iCs/>
        </w:rPr>
        <w:t>A</w:t>
      </w:r>
      <w:proofErr w:type="gramEnd"/>
      <w:r w:rsidRPr="0006288F">
        <w:rPr>
          <w:rFonts w:ascii="Garamond" w:hAnsi="Garamond" w:cs="Garamond"/>
          <w:i/>
          <w:iCs/>
        </w:rPr>
        <w:t xml:space="preserve"> tanúsítás poétikája és politikája</w:t>
      </w:r>
      <w:r w:rsidRPr="0006288F">
        <w:rPr>
          <w:rFonts w:ascii="Garamond" w:hAnsi="Garamond" w:cs="Garamond"/>
        </w:rPr>
        <w:t xml:space="preserve"> című könyvében írja, hogy „a tanúsítás őseredeti tapasztalata folytonosan titok marad, az a tanú privilégiuma, akinek a helyébe senki nem léphet, mert ő lényegét tekintve egyedi, ő tudja, mit l</w:t>
      </w:r>
      <w:r w:rsidRPr="0006288F">
        <w:rPr>
          <w:rFonts w:ascii="Garamond" w:hAnsi="Garamond" w:cs="Garamond"/>
        </w:rPr>
        <w:t>á</w:t>
      </w:r>
      <w:r w:rsidRPr="0006288F">
        <w:rPr>
          <w:rFonts w:ascii="Garamond" w:hAnsi="Garamond" w:cs="Garamond"/>
        </w:rPr>
        <w:t xml:space="preserve">tott, élt át, érzett”. Vagy pedig éppen hogy lehetővé kell tenni, hogy a tanúság/tanúsítás </w:t>
      </w:r>
      <w:r w:rsidRPr="0006288F">
        <w:rPr>
          <w:rFonts w:ascii="Garamond" w:hAnsi="Garamond" w:cs="Garamond"/>
          <w:b/>
          <w:bCs/>
        </w:rPr>
        <w:t>nyilvánvalóvá váljon</w:t>
      </w:r>
      <w:r w:rsidRPr="0006288F">
        <w:rPr>
          <w:rFonts w:ascii="Garamond" w:hAnsi="Garamond" w:cs="Garamond"/>
        </w:rPr>
        <w:t xml:space="preserve">, a beszédnek és a tettnek olyan formáit szükséges megteremteni, amelyekben ugyan </w:t>
      </w:r>
      <w:proofErr w:type="spellStart"/>
      <w:r w:rsidRPr="0006288F">
        <w:rPr>
          <w:rFonts w:ascii="Garamond" w:hAnsi="Garamond" w:cs="Garamond"/>
        </w:rPr>
        <w:t>aporetikus</w:t>
      </w:r>
      <w:proofErr w:type="spellEnd"/>
      <w:r w:rsidRPr="0006288F">
        <w:rPr>
          <w:rFonts w:ascii="Garamond" w:hAnsi="Garamond" w:cs="Garamond"/>
        </w:rPr>
        <w:t xml:space="preserve"> m</w:t>
      </w:r>
      <w:r w:rsidRPr="0006288F">
        <w:rPr>
          <w:rFonts w:ascii="Garamond" w:hAnsi="Garamond" w:cs="Garamond"/>
        </w:rPr>
        <w:t>ó</w:t>
      </w:r>
      <w:r w:rsidRPr="0006288F">
        <w:rPr>
          <w:rFonts w:ascii="Garamond" w:hAnsi="Garamond" w:cs="Garamond"/>
        </w:rPr>
        <w:t xml:space="preserve">don, de mégiscsak újra </w:t>
      </w:r>
      <w:r w:rsidRPr="0006288F">
        <w:rPr>
          <w:rFonts w:ascii="Garamond" w:hAnsi="Garamond" w:cs="Garamond"/>
          <w:b/>
          <w:bCs/>
        </w:rPr>
        <w:t>megtörténhet, ami igaz</w:t>
      </w:r>
      <w:r w:rsidRPr="0006288F">
        <w:rPr>
          <w:rFonts w:ascii="Garamond" w:hAnsi="Garamond" w:cs="Garamond"/>
        </w:rPr>
        <w:t>.</w:t>
      </w:r>
    </w:p>
    <w:p w:rsidR="001032D8" w:rsidRDefault="001032D8" w:rsidP="007565B8">
      <w:pPr>
        <w:spacing w:after="0" w:line="360" w:lineRule="auto"/>
        <w:jc w:val="both"/>
        <w:rPr>
          <w:rFonts w:ascii="Garamond" w:hAnsi="Garamond" w:cs="Garamond"/>
        </w:rPr>
      </w:pPr>
      <w:bookmarkStart w:id="0" w:name="_GoBack"/>
      <w:bookmarkEnd w:id="0"/>
    </w:p>
    <w:p w:rsidR="001032D8" w:rsidRDefault="001032D8" w:rsidP="007565B8">
      <w:pPr>
        <w:spacing w:after="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Előadók: </w:t>
      </w:r>
    </w:p>
    <w:p w:rsidR="00CC7C52" w:rsidRDefault="00CC7C52" w:rsidP="00CC7C52">
      <w:proofErr w:type="spellStart"/>
      <w:r w:rsidRPr="00CC7C52">
        <w:t>Angyalosi</w:t>
      </w:r>
      <w:proofErr w:type="spellEnd"/>
      <w:r w:rsidRPr="00CC7C52">
        <w:t xml:space="preserve"> Gergely</w:t>
      </w:r>
      <w:r>
        <w:t xml:space="preserve">, </w:t>
      </w:r>
      <w:r w:rsidRPr="00CC7C52">
        <w:t>Balogh László Levente</w:t>
      </w:r>
      <w:r>
        <w:t xml:space="preserve">, </w:t>
      </w:r>
      <w:r w:rsidRPr="00CC7C52">
        <w:t>Bényei Tamás</w:t>
      </w:r>
      <w:r>
        <w:t xml:space="preserve">, </w:t>
      </w:r>
      <w:proofErr w:type="spellStart"/>
      <w:r w:rsidRPr="00CC7C52">
        <w:t>Bujalos</w:t>
      </w:r>
      <w:proofErr w:type="spellEnd"/>
      <w:r w:rsidRPr="00CC7C52">
        <w:t xml:space="preserve"> István</w:t>
      </w:r>
      <w:r>
        <w:t>, Czeglédi András,</w:t>
      </w:r>
    </w:p>
    <w:p w:rsidR="00CC7C52" w:rsidRPr="00B90B32" w:rsidRDefault="00CC7C52" w:rsidP="00CC7C52">
      <w:proofErr w:type="spellStart"/>
      <w:r w:rsidRPr="00CC7C52">
        <w:t>Fazakas</w:t>
      </w:r>
      <w:proofErr w:type="spellEnd"/>
      <w:r w:rsidRPr="00CC7C52">
        <w:t xml:space="preserve"> Sándor</w:t>
      </w:r>
      <w:r>
        <w:t xml:space="preserve">, </w:t>
      </w:r>
      <w:r w:rsidRPr="00CC7C52">
        <w:t>Gábor György</w:t>
      </w:r>
      <w:r>
        <w:t xml:space="preserve">, Gulyás Gábor, </w:t>
      </w:r>
      <w:r w:rsidRPr="002B3ACC">
        <w:rPr>
          <w:b/>
          <w:i/>
        </w:rPr>
        <w:t>Heller Ágnes</w:t>
      </w:r>
      <w:r>
        <w:t xml:space="preserve">, </w:t>
      </w:r>
      <w:proofErr w:type="spellStart"/>
      <w:r w:rsidRPr="00CC7C52">
        <w:t>Hévizi</w:t>
      </w:r>
      <w:proofErr w:type="spellEnd"/>
      <w:r w:rsidRPr="00CC7C52">
        <w:t xml:space="preserve"> Ottó</w:t>
      </w:r>
      <w:r>
        <w:t xml:space="preserve">, </w:t>
      </w:r>
      <w:r w:rsidRPr="00B90B32">
        <w:t>Kardos András</w:t>
      </w:r>
    </w:p>
    <w:p w:rsidR="00CC7C52" w:rsidRDefault="00CC7C52" w:rsidP="00CC7C52">
      <w:proofErr w:type="spellStart"/>
      <w:r w:rsidRPr="00CC7C52">
        <w:t>Kicsák</w:t>
      </w:r>
      <w:proofErr w:type="spellEnd"/>
      <w:r w:rsidRPr="00CC7C52">
        <w:t xml:space="preserve"> Lóránt</w:t>
      </w:r>
      <w:r>
        <w:t xml:space="preserve">, </w:t>
      </w:r>
      <w:r w:rsidRPr="00CC7C52">
        <w:t>Kiss Lajos András</w:t>
      </w:r>
      <w:r>
        <w:t xml:space="preserve">, </w:t>
      </w:r>
      <w:proofErr w:type="spellStart"/>
      <w:r>
        <w:t>Loboczky</w:t>
      </w:r>
      <w:proofErr w:type="spellEnd"/>
      <w:r>
        <w:t xml:space="preserve"> János, </w:t>
      </w:r>
      <w:proofErr w:type="spellStart"/>
      <w:r w:rsidRPr="00CC7C52">
        <w:t>Pólik</w:t>
      </w:r>
      <w:proofErr w:type="spellEnd"/>
      <w:r w:rsidRPr="00CC7C52">
        <w:t xml:space="preserve"> József</w:t>
      </w:r>
      <w:r>
        <w:t xml:space="preserve">, </w:t>
      </w:r>
      <w:r>
        <w:t>Pongrácz Tibor</w:t>
      </w:r>
    </w:p>
    <w:p w:rsidR="00CC7C52" w:rsidRDefault="00CC7C52" w:rsidP="00CC7C52">
      <w:proofErr w:type="spellStart"/>
      <w:r>
        <w:t>Széplaky</w:t>
      </w:r>
      <w:proofErr w:type="spellEnd"/>
      <w:r>
        <w:t xml:space="preserve"> Gerda, </w:t>
      </w:r>
      <w:r w:rsidRPr="00CC7C52">
        <w:t>Szirák Péter</w:t>
      </w:r>
      <w:r>
        <w:t xml:space="preserve">, </w:t>
      </w:r>
      <w:r w:rsidRPr="00CC7C52">
        <w:t>Szűcs Teri</w:t>
      </w:r>
      <w:r>
        <w:t xml:space="preserve">, </w:t>
      </w:r>
      <w:r w:rsidRPr="00CC7C52">
        <w:t>Takáts Miklós</w:t>
      </w:r>
      <w:r>
        <w:t xml:space="preserve">, </w:t>
      </w:r>
      <w:proofErr w:type="spellStart"/>
      <w:r>
        <w:t>Trembeczki</w:t>
      </w:r>
      <w:proofErr w:type="spellEnd"/>
      <w:r>
        <w:t xml:space="preserve"> István</w:t>
      </w:r>
    </w:p>
    <w:p w:rsidR="00CC7C52" w:rsidRPr="008D5D4A" w:rsidRDefault="00CC7C52" w:rsidP="00CC7C52">
      <w:r w:rsidRPr="00CC7C52">
        <w:t>Ullmann Tamás</w:t>
      </w:r>
      <w:r>
        <w:t xml:space="preserve">, </w:t>
      </w:r>
      <w:r w:rsidRPr="002B3ACC">
        <w:rPr>
          <w:b/>
          <w:i/>
        </w:rPr>
        <w:t>Vajda Mihály</w:t>
      </w:r>
      <w:r>
        <w:t xml:space="preserve">, </w:t>
      </w:r>
      <w:proofErr w:type="spellStart"/>
      <w:r>
        <w:t>Valastyán</w:t>
      </w:r>
      <w:proofErr w:type="spellEnd"/>
      <w:r>
        <w:t xml:space="preserve"> Tamás</w:t>
      </w:r>
    </w:p>
    <w:p w:rsidR="00CC7C52" w:rsidRPr="0006288F" w:rsidRDefault="00CC7C52" w:rsidP="007565B8">
      <w:pPr>
        <w:spacing w:after="0" w:line="360" w:lineRule="auto"/>
        <w:jc w:val="both"/>
        <w:rPr>
          <w:rFonts w:ascii="Garamond" w:hAnsi="Garamond" w:cs="Garamond"/>
        </w:rPr>
      </w:pPr>
    </w:p>
    <w:p w:rsidR="0095151F" w:rsidRPr="0006288F" w:rsidRDefault="0095151F" w:rsidP="007565B8">
      <w:pPr>
        <w:spacing w:after="0" w:line="360" w:lineRule="auto"/>
        <w:jc w:val="right"/>
        <w:rPr>
          <w:rFonts w:ascii="Garamond" w:hAnsi="Garamond" w:cs="Garamond"/>
        </w:rPr>
      </w:pPr>
    </w:p>
    <w:sectPr w:rsidR="0095151F" w:rsidRPr="0006288F" w:rsidSect="0000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defaultTabStop w:val="708"/>
  <w:autoHyphenation/>
  <w:hyphenationZone w:val="14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3E"/>
    <w:rsid w:val="000016D3"/>
    <w:rsid w:val="00062102"/>
    <w:rsid w:val="0006288F"/>
    <w:rsid w:val="00070A4A"/>
    <w:rsid w:val="000C742B"/>
    <w:rsid w:val="001032D8"/>
    <w:rsid w:val="00202C03"/>
    <w:rsid w:val="002458C8"/>
    <w:rsid w:val="002B09D5"/>
    <w:rsid w:val="002B3ACC"/>
    <w:rsid w:val="00352BF0"/>
    <w:rsid w:val="00380391"/>
    <w:rsid w:val="00526B9B"/>
    <w:rsid w:val="005C0449"/>
    <w:rsid w:val="00651999"/>
    <w:rsid w:val="00715A37"/>
    <w:rsid w:val="007161D6"/>
    <w:rsid w:val="007565B8"/>
    <w:rsid w:val="007A3924"/>
    <w:rsid w:val="008B51C3"/>
    <w:rsid w:val="0095151F"/>
    <w:rsid w:val="009A520F"/>
    <w:rsid w:val="00A30872"/>
    <w:rsid w:val="00A51F41"/>
    <w:rsid w:val="00A86885"/>
    <w:rsid w:val="00AB51CD"/>
    <w:rsid w:val="00BE7585"/>
    <w:rsid w:val="00C8273E"/>
    <w:rsid w:val="00CC7C52"/>
    <w:rsid w:val="00D827E9"/>
    <w:rsid w:val="00DC2D2E"/>
    <w:rsid w:val="00E35D5C"/>
    <w:rsid w:val="00EF57A2"/>
    <w:rsid w:val="00F07F22"/>
    <w:rsid w:val="00F32BEE"/>
    <w:rsid w:val="00FA5082"/>
    <w:rsid w:val="00FB321E"/>
    <w:rsid w:val="00FB7654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6D3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A5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6D3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A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Barátunk</vt:lpstr>
    </vt:vector>
  </TitlesOfParts>
  <Company>Csokonai Vitéz Mihály Gimnázium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Barátunk</dc:title>
  <dc:creator>hévizi ottó</dc:creator>
  <cp:lastModifiedBy>Lilla</cp:lastModifiedBy>
  <cp:revision>4</cp:revision>
  <dcterms:created xsi:type="dcterms:W3CDTF">2016-09-20T08:32:00Z</dcterms:created>
  <dcterms:modified xsi:type="dcterms:W3CDTF">2016-09-20T08:44:00Z</dcterms:modified>
</cp:coreProperties>
</file>