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2" w:rsidRDefault="00A0092A">
      <w:pPr>
        <w:pStyle w:val="Alaprtelmezett"/>
        <w:spacing w:line="360" w:lineRule="auto"/>
        <w:jc w:val="both"/>
      </w:pPr>
      <w:bookmarkStart w:id="0" w:name="_GoBack"/>
      <w:bookmarkEnd w:id="0"/>
      <w:r>
        <w:rPr>
          <w:b/>
          <w:bCs/>
          <w:sz w:val="28"/>
          <w:szCs w:val="28"/>
        </w:rPr>
        <w:t>A világ teremtésének értelmezései az antik gnózis hagyományaiban</w:t>
      </w:r>
    </w:p>
    <w:p w:rsidR="00A11532" w:rsidRDefault="00A11532">
      <w:pPr>
        <w:pStyle w:val="Alaprtelmezett"/>
        <w:spacing w:line="360" w:lineRule="auto"/>
        <w:jc w:val="both"/>
      </w:pPr>
    </w:p>
    <w:p w:rsidR="00A11532" w:rsidRDefault="00A0092A">
      <w:pPr>
        <w:pStyle w:val="Alaprtelmezett"/>
        <w:spacing w:line="360" w:lineRule="auto"/>
        <w:jc w:val="both"/>
      </w:pPr>
      <w:r>
        <w:rPr>
          <w:b/>
        </w:rPr>
        <w:t>A tárgy rövid leírása:</w:t>
      </w:r>
    </w:p>
    <w:p w:rsidR="00A11532" w:rsidRDefault="00A0092A">
      <w:pPr>
        <w:pStyle w:val="Alaprtelmezett"/>
        <w:spacing w:line="360" w:lineRule="auto"/>
        <w:jc w:val="both"/>
      </w:pPr>
      <w:r>
        <w:t>A szeminárium középpontjában az antik gnózishoz sorolt irányzatokban olvasható teremtés-értelmezések megismerése áll. A hallgatók a félév során bepillantást nyernek az antik gnózis gondolkodásmódjának alapjellemzőibe, megismerik a legfontosabb terminusokat</w:t>
      </w:r>
      <w:r>
        <w:t xml:space="preserve"> és a szövegekben felmerülő alapkérdéseket. A szeminárium célja, hogy a forrásszövegek elemzésén keresztül bemutassa a különböző teológiai rendszerek és irányzatok világteremtés-értelmezéseit, a szövegek </w:t>
      </w:r>
      <w:proofErr w:type="spellStart"/>
      <w:r>
        <w:t>exegetikai</w:t>
      </w:r>
      <w:proofErr w:type="spellEnd"/>
      <w:r>
        <w:t xml:space="preserve"> hagyományait és ezek forrásait, és rávilá</w:t>
      </w:r>
      <w:r>
        <w:t xml:space="preserve">gítson azokra a gnosztikus tanításokra, amelyek a kortárs platonikus és keresztény </w:t>
      </w:r>
      <w:proofErr w:type="spellStart"/>
      <w:r>
        <w:t>anti-gnosztikus</w:t>
      </w:r>
      <w:proofErr w:type="spellEnd"/>
      <w:r>
        <w:t xml:space="preserve"> polémiákban is megjelentek.</w:t>
      </w:r>
    </w:p>
    <w:p w:rsidR="00A11532" w:rsidRDefault="00A11532">
      <w:pPr>
        <w:pStyle w:val="Alaprtelmezett"/>
        <w:spacing w:line="360" w:lineRule="auto"/>
        <w:jc w:val="both"/>
      </w:pPr>
    </w:p>
    <w:p w:rsidR="00A11532" w:rsidRDefault="00A0092A">
      <w:pPr>
        <w:pStyle w:val="Alaprtelmezett"/>
        <w:spacing w:line="360" w:lineRule="auto"/>
        <w:jc w:val="both"/>
      </w:pPr>
      <w:r>
        <w:rPr>
          <w:b/>
          <w:bCs/>
        </w:rPr>
        <w:t>A szeminárium tömbösített, ideje</w:t>
      </w:r>
      <w:r>
        <w:t xml:space="preserve"> </w:t>
      </w:r>
      <w:r>
        <w:rPr>
          <w:b/>
          <w:bCs/>
        </w:rPr>
        <w:t>2015. november 26-27-28</w:t>
      </w:r>
    </w:p>
    <w:p w:rsidR="00A11532" w:rsidRDefault="00A0092A">
      <w:pPr>
        <w:pStyle w:val="Alaprtelmezett"/>
        <w:spacing w:line="360" w:lineRule="auto"/>
        <w:jc w:val="both"/>
      </w:pPr>
      <w:r>
        <w:rPr>
          <w:b/>
          <w:bCs/>
        </w:rPr>
        <w:t>A teljesítés módja</w:t>
      </w:r>
      <w:r>
        <w:t>: szemináriumi dolgozat</w:t>
      </w:r>
    </w:p>
    <w:p w:rsidR="00A11532" w:rsidRDefault="00A11532">
      <w:pPr>
        <w:pStyle w:val="Cmsor5"/>
        <w:numPr>
          <w:ilvl w:val="4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bidi="ar-SA"/>
        </w:rPr>
      </w:pPr>
    </w:p>
    <w:p w:rsidR="00A11532" w:rsidRDefault="00A0092A">
      <w:pPr>
        <w:pStyle w:val="Cmsor5"/>
        <w:numPr>
          <w:ilvl w:val="4"/>
          <w:numId w:val="1"/>
        </w:numPr>
        <w:spacing w:line="360" w:lineRule="auto"/>
        <w:jc w:val="center"/>
      </w:pPr>
      <w:r>
        <w:rPr>
          <w:rFonts w:ascii="Times New Roman" w:hAnsi="Times New Roman"/>
          <w:i w:val="0"/>
          <w:sz w:val="24"/>
          <w:szCs w:val="24"/>
        </w:rPr>
        <w:t>Kötelező irodalom</w:t>
      </w:r>
    </w:p>
    <w:p w:rsidR="00A11532" w:rsidRDefault="00A11532">
      <w:pPr>
        <w:pStyle w:val="Alaprtelmezett"/>
        <w:spacing w:line="360" w:lineRule="auto"/>
        <w:jc w:val="center"/>
      </w:pPr>
    </w:p>
    <w:p w:rsidR="00A11532" w:rsidRDefault="00A0092A">
      <w:pPr>
        <w:pStyle w:val="Alaprtelmezett"/>
        <w:spacing w:line="360" w:lineRule="auto"/>
        <w:rPr>
          <w:u w:val="single"/>
        </w:rPr>
      </w:pPr>
      <w:r>
        <w:rPr>
          <w:u w:val="single"/>
        </w:rPr>
        <w:t>Források</w:t>
      </w:r>
    </w:p>
    <w:p w:rsidR="00A11532" w:rsidRDefault="00A11532">
      <w:pPr>
        <w:pStyle w:val="Alaprtelmezett"/>
        <w:spacing w:line="360" w:lineRule="auto"/>
      </w:pPr>
    </w:p>
    <w:p w:rsidR="00A11532" w:rsidRDefault="00A0092A">
      <w:pPr>
        <w:pStyle w:val="Szvegtrzs"/>
        <w:spacing w:line="360" w:lineRule="auto"/>
      </w:pPr>
      <w:r>
        <w:rPr>
          <w:rFonts w:ascii="Times New Roman" w:hAnsi="Times New Roman"/>
        </w:rPr>
        <w:t xml:space="preserve">Tertullianus: Markión ellen, Ford. Nagy I.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Tertullianus művei, Szent István Társulat, Bp. 1986.489-769. </w:t>
      </w:r>
      <w:proofErr w:type="spellStart"/>
      <w:r>
        <w:rPr>
          <w:rFonts w:ascii="Times New Roman" w:hAnsi="Times New Roman"/>
        </w:rPr>
        <w:t>kül</w:t>
      </w:r>
      <w:proofErr w:type="spellEnd"/>
      <w:r>
        <w:rPr>
          <w:rFonts w:ascii="Times New Roman" w:hAnsi="Times New Roman"/>
        </w:rPr>
        <w:t>. 2</w:t>
      </w:r>
      <w:proofErr w:type="gramStart"/>
      <w:r>
        <w:rPr>
          <w:rFonts w:ascii="Times New Roman" w:hAnsi="Times New Roman"/>
        </w:rPr>
        <w:t>.könyv</w:t>
      </w:r>
      <w:proofErr w:type="gramEnd"/>
    </w:p>
    <w:p w:rsidR="00A11532" w:rsidRDefault="00A0092A">
      <w:pPr>
        <w:pStyle w:val="Szvegtrz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Tamás evangéliuma. Ford. Hubai P.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Hubai P, </w:t>
      </w:r>
      <w:proofErr w:type="spellStart"/>
      <w:r>
        <w:rPr>
          <w:rFonts w:ascii="Times New Roman" w:hAnsi="Times New Roman"/>
        </w:rPr>
        <w:t>Pröhle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proofErr w:type="gramStart"/>
      <w:r>
        <w:rPr>
          <w:rFonts w:ascii="Times New Roman" w:hAnsi="Times New Roman"/>
        </w:rPr>
        <w:t>.Rugási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Gy</w:t>
      </w:r>
      <w:proofErr w:type="spellEnd"/>
      <w:r>
        <w:rPr>
          <w:rFonts w:ascii="Times New Roman" w:hAnsi="Times New Roman"/>
        </w:rPr>
        <w:t>.: Jézus rejtett szavai. Holnap, Bp. 1990</w:t>
      </w:r>
    </w:p>
    <w:p w:rsidR="00A11532" w:rsidRDefault="00A0092A">
      <w:pPr>
        <w:pStyle w:val="Szvegtrz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Mózes apokalipszise. Ford. </w:t>
      </w:r>
      <w:proofErr w:type="spellStart"/>
      <w:r>
        <w:rPr>
          <w:rFonts w:ascii="Times New Roman" w:hAnsi="Times New Roman"/>
        </w:rPr>
        <w:t>Kapitánffy</w:t>
      </w:r>
      <w:proofErr w:type="spellEnd"/>
      <w:r>
        <w:rPr>
          <w:rFonts w:ascii="Times New Roman" w:hAnsi="Times New Roman"/>
        </w:rPr>
        <w:t xml:space="preserve"> I. </w:t>
      </w:r>
      <w:proofErr w:type="spellStart"/>
      <w:r>
        <w:rPr>
          <w:rFonts w:ascii="Times New Roman" w:hAnsi="Times New Roman"/>
        </w:rPr>
        <w:t>in</w:t>
      </w:r>
      <w:proofErr w:type="spellEnd"/>
      <w:proofErr w:type="gramStart"/>
      <w:r>
        <w:rPr>
          <w:rFonts w:ascii="Times New Roman" w:hAnsi="Times New Roman"/>
        </w:rPr>
        <w:t>:  Apokalipszisek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Telosz</w:t>
      </w:r>
      <w:proofErr w:type="spellEnd"/>
      <w:r>
        <w:rPr>
          <w:rFonts w:ascii="Times New Roman" w:hAnsi="Times New Roman"/>
        </w:rPr>
        <w:t>, Bp. 1997, 5-15.</w:t>
      </w:r>
    </w:p>
    <w:p w:rsidR="00A11532" w:rsidRDefault="00A0092A">
      <w:pPr>
        <w:pStyle w:val="Szvegtrz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igazság evangéliuma. Ford. </w:t>
      </w:r>
      <w:proofErr w:type="spellStart"/>
      <w:r>
        <w:rPr>
          <w:rFonts w:ascii="Times New Roman" w:hAnsi="Times New Roman"/>
        </w:rPr>
        <w:t>Pesthy</w:t>
      </w:r>
      <w:proofErr w:type="spell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Csodás evangéliumok. </w:t>
      </w:r>
      <w:proofErr w:type="spellStart"/>
      <w:r>
        <w:rPr>
          <w:rFonts w:ascii="Times New Roman" w:hAnsi="Times New Roman"/>
        </w:rPr>
        <w:t>Telosz</w:t>
      </w:r>
      <w:proofErr w:type="spellEnd"/>
      <w:r>
        <w:rPr>
          <w:rFonts w:ascii="Times New Roman" w:hAnsi="Times New Roman"/>
        </w:rPr>
        <w:t>, Bp. 1996 101-110</w:t>
      </w:r>
    </w:p>
    <w:p w:rsidR="00A11532" w:rsidRDefault="00A0092A">
      <w:pPr>
        <w:pStyle w:val="Szvegtrz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János </w:t>
      </w:r>
      <w:proofErr w:type="spellStart"/>
      <w:r>
        <w:rPr>
          <w:rFonts w:ascii="Times New Roman" w:hAnsi="Times New Roman"/>
        </w:rPr>
        <w:t>apokrüphonja</w:t>
      </w:r>
      <w:proofErr w:type="spellEnd"/>
      <w:r>
        <w:rPr>
          <w:rFonts w:ascii="Times New Roman" w:hAnsi="Times New Roman"/>
        </w:rPr>
        <w:t xml:space="preserve">. Ford. </w:t>
      </w:r>
      <w:proofErr w:type="spellStart"/>
      <w:r>
        <w:rPr>
          <w:rFonts w:ascii="Times New Roman" w:hAnsi="Times New Roman"/>
        </w:rPr>
        <w:t>Egedi</w:t>
      </w:r>
      <w:proofErr w:type="spellEnd"/>
      <w:r>
        <w:rPr>
          <w:rFonts w:ascii="Times New Roman" w:hAnsi="Times New Roman"/>
        </w:rPr>
        <w:t xml:space="preserve"> B.-Hasznos </w:t>
      </w:r>
      <w:proofErr w:type="spellStart"/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.-Luft</w:t>
      </w:r>
      <w:proofErr w:type="spellEnd"/>
      <w:r>
        <w:rPr>
          <w:rFonts w:ascii="Times New Roman" w:hAnsi="Times New Roman"/>
        </w:rPr>
        <w:t xml:space="preserve"> U.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istenek, szentek, démonok Egyiptomban. </w:t>
      </w:r>
      <w:proofErr w:type="spellStart"/>
      <w:r>
        <w:rPr>
          <w:rFonts w:ascii="Times New Roman" w:hAnsi="Times New Roman"/>
        </w:rPr>
        <w:t>Kairosz</w:t>
      </w:r>
      <w:proofErr w:type="spellEnd"/>
      <w:r>
        <w:rPr>
          <w:rFonts w:ascii="Times New Roman" w:hAnsi="Times New Roman"/>
        </w:rPr>
        <w:t>, B</w:t>
      </w:r>
      <w:r>
        <w:rPr>
          <w:rFonts w:ascii="Times New Roman" w:hAnsi="Times New Roman"/>
        </w:rPr>
        <w:t>p. 2003, 229-259</w:t>
      </w:r>
    </w:p>
    <w:p w:rsidR="00A11532" w:rsidRDefault="00A0092A">
      <w:pPr>
        <w:pStyle w:val="Szvegtrzs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Fülöp evangéliuma. Ford. </w:t>
      </w:r>
      <w:proofErr w:type="spellStart"/>
      <w:r>
        <w:rPr>
          <w:rFonts w:ascii="Times New Roman" w:hAnsi="Times New Roman"/>
        </w:rPr>
        <w:t>Pesthy</w:t>
      </w:r>
      <w:proofErr w:type="spell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In</w:t>
      </w:r>
      <w:proofErr w:type="spellEnd"/>
      <w:r>
        <w:rPr>
          <w:rFonts w:ascii="Times New Roman" w:hAnsi="Times New Roman"/>
        </w:rPr>
        <w:t xml:space="preserve">: Csodás evangéliumok. </w:t>
      </w:r>
      <w:proofErr w:type="spellStart"/>
      <w:r>
        <w:rPr>
          <w:rFonts w:ascii="Times New Roman" w:hAnsi="Times New Roman"/>
        </w:rPr>
        <w:t>Telosz</w:t>
      </w:r>
      <w:proofErr w:type="spellEnd"/>
      <w:r>
        <w:rPr>
          <w:rFonts w:ascii="Times New Roman" w:hAnsi="Times New Roman"/>
        </w:rPr>
        <w:t xml:space="preserve">, Bp. 1996, 85-100 </w:t>
      </w:r>
    </w:p>
    <w:p w:rsidR="00A11532" w:rsidRDefault="00A0092A">
      <w:pPr>
        <w:pStyle w:val="Alaprtelmezett"/>
        <w:spacing w:line="360" w:lineRule="auto"/>
      </w:pPr>
      <w:proofErr w:type="spellStart"/>
      <w:r>
        <w:t>Poimandres</w:t>
      </w:r>
      <w:proofErr w:type="spellEnd"/>
      <w:r>
        <w:t xml:space="preserve">. Ford. </w:t>
      </w:r>
      <w:proofErr w:type="spellStart"/>
      <w:r>
        <w:t>Bollók</w:t>
      </w:r>
      <w:proofErr w:type="spellEnd"/>
      <w:r>
        <w:t xml:space="preserve"> J. </w:t>
      </w:r>
      <w:proofErr w:type="spellStart"/>
      <w:r>
        <w:t>In</w:t>
      </w:r>
      <w:proofErr w:type="spellEnd"/>
      <w:r>
        <w:t xml:space="preserve">: Apokalipszisek. </w:t>
      </w:r>
      <w:proofErr w:type="spellStart"/>
      <w:r>
        <w:t>Telosz</w:t>
      </w:r>
      <w:proofErr w:type="spellEnd"/>
      <w:r>
        <w:t xml:space="preserve">, Bp. 1997, 133-139  </w:t>
      </w:r>
    </w:p>
    <w:p w:rsidR="00A11532" w:rsidRDefault="00A11532">
      <w:pPr>
        <w:pStyle w:val="Alaprtelmezett"/>
        <w:spacing w:line="360" w:lineRule="auto"/>
      </w:pPr>
    </w:p>
    <w:p w:rsidR="00A11532" w:rsidRDefault="00A0092A">
      <w:pPr>
        <w:pStyle w:val="Alaprtelmezett"/>
        <w:spacing w:line="360" w:lineRule="auto"/>
      </w:pPr>
      <w:r>
        <w:rPr>
          <w:u w:val="single"/>
        </w:rPr>
        <w:t>Szakirodalom</w:t>
      </w:r>
    </w:p>
    <w:p w:rsidR="00A11532" w:rsidRDefault="00A11532">
      <w:pPr>
        <w:pStyle w:val="Alaprtelmezett"/>
        <w:spacing w:line="360" w:lineRule="auto"/>
      </w:pPr>
    </w:p>
    <w:p w:rsidR="00A11532" w:rsidRDefault="00A0092A">
      <w:pPr>
        <w:pStyle w:val="Alaprtelmezett"/>
        <w:spacing w:line="360" w:lineRule="auto"/>
      </w:pPr>
      <w:proofErr w:type="spellStart"/>
      <w:r>
        <w:t>Kákosy</w:t>
      </w:r>
      <w:proofErr w:type="spellEnd"/>
      <w:r>
        <w:t xml:space="preserve"> László: Fény és káosz. Gondolat, Bp., 1994</w:t>
      </w:r>
    </w:p>
    <w:p w:rsidR="00A11532" w:rsidRDefault="00A0092A">
      <w:pPr>
        <w:pStyle w:val="Alaprtelmezett"/>
        <w:spacing w:line="360" w:lineRule="auto"/>
      </w:pPr>
      <w:proofErr w:type="spellStart"/>
      <w:r>
        <w:t>Markschies</w:t>
      </w:r>
      <w:proofErr w:type="spellEnd"/>
      <w:r>
        <w:t xml:space="preserve">, </w:t>
      </w:r>
      <w:proofErr w:type="spellStart"/>
      <w:r>
        <w:t>Ch</w:t>
      </w:r>
      <w:proofErr w:type="spellEnd"/>
      <w:r>
        <w:t>: A gnózis. Ford. Boros I. Szent István Társulat, Bp. 2011</w:t>
      </w:r>
    </w:p>
    <w:p w:rsidR="00A11532" w:rsidRDefault="00A0092A">
      <w:pPr>
        <w:pStyle w:val="Szvegtrzs"/>
        <w:spacing w:line="360" w:lineRule="auto"/>
      </w:pPr>
      <w:proofErr w:type="spellStart"/>
      <w:r>
        <w:rPr>
          <w:rFonts w:ascii="Times New Roman" w:hAnsi="Times New Roman"/>
        </w:rPr>
        <w:t>Filoramo</w:t>
      </w:r>
      <w:proofErr w:type="spellEnd"/>
      <w:r>
        <w:rPr>
          <w:rFonts w:ascii="Times New Roman" w:hAnsi="Times New Roman"/>
        </w:rPr>
        <w:t>, G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A gnoszticizmus története, </w:t>
      </w:r>
      <w:proofErr w:type="spellStart"/>
      <w:r>
        <w:rPr>
          <w:rFonts w:ascii="Times New Roman" w:hAnsi="Times New Roman"/>
        </w:rPr>
        <w:t>Kairosz</w:t>
      </w:r>
      <w:proofErr w:type="spellEnd"/>
      <w:r>
        <w:rPr>
          <w:rFonts w:ascii="Times New Roman" w:hAnsi="Times New Roman"/>
        </w:rPr>
        <w:t>, Bp. 2000</w:t>
      </w:r>
    </w:p>
    <w:p w:rsidR="00A11532" w:rsidRDefault="00A11532">
      <w:pPr>
        <w:pStyle w:val="Alaprtelmezett"/>
        <w:spacing w:line="360" w:lineRule="auto"/>
        <w:jc w:val="center"/>
      </w:pPr>
    </w:p>
    <w:p w:rsidR="00A11532" w:rsidRDefault="00A0092A">
      <w:pPr>
        <w:pStyle w:val="Cmsor4"/>
        <w:numPr>
          <w:ilvl w:val="3"/>
          <w:numId w:val="1"/>
        </w:num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Ajánlott szakirodalom</w:t>
      </w:r>
    </w:p>
    <w:p w:rsidR="00A11532" w:rsidRDefault="00A11532">
      <w:pPr>
        <w:pStyle w:val="Cmsor4"/>
        <w:numPr>
          <w:ilvl w:val="3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1532" w:rsidRDefault="00A0092A">
      <w:pPr>
        <w:pStyle w:val="Szvegtrzs"/>
        <w:spacing w:line="360" w:lineRule="auto"/>
      </w:pPr>
      <w:r>
        <w:rPr>
          <w:rFonts w:ascii="Times New Roman" w:hAnsi="Times New Roman"/>
        </w:rPr>
        <w:t xml:space="preserve">Corpus </w:t>
      </w:r>
      <w:proofErr w:type="spellStart"/>
      <w:r>
        <w:rPr>
          <w:rFonts w:ascii="Times New Roman" w:hAnsi="Times New Roman"/>
        </w:rPr>
        <w:t>Hermeticum</w:t>
      </w:r>
      <w:proofErr w:type="spellEnd"/>
      <w:r>
        <w:rPr>
          <w:rFonts w:ascii="Times New Roman" w:hAnsi="Times New Roman"/>
        </w:rPr>
        <w:t xml:space="preserve">. Ford. Hamvas E. </w:t>
      </w:r>
      <w:proofErr w:type="spellStart"/>
      <w:r>
        <w:rPr>
          <w:rFonts w:ascii="Times New Roman" w:hAnsi="Times New Roman"/>
        </w:rPr>
        <w:t>Lectum</w:t>
      </w:r>
      <w:proofErr w:type="spellEnd"/>
      <w:r>
        <w:rPr>
          <w:rFonts w:ascii="Times New Roman" w:hAnsi="Times New Roman"/>
        </w:rPr>
        <w:t>, 2010</w:t>
      </w:r>
    </w:p>
    <w:p w:rsidR="00A11532" w:rsidRDefault="00A0092A">
      <w:pPr>
        <w:pStyle w:val="Szvegtrzs"/>
        <w:spacing w:line="360" w:lineRule="auto"/>
        <w:jc w:val="both"/>
      </w:pPr>
      <w:r>
        <w:rPr>
          <w:rFonts w:ascii="Times New Roman" w:hAnsi="Times New Roman" w:cs="Garamond"/>
        </w:rPr>
        <w:t xml:space="preserve">Hubai P, </w:t>
      </w:r>
      <w:proofErr w:type="spellStart"/>
      <w:r>
        <w:rPr>
          <w:rFonts w:ascii="Times New Roman" w:hAnsi="Times New Roman" w:cs="Garamond"/>
        </w:rPr>
        <w:t>Pröhle</w:t>
      </w:r>
      <w:proofErr w:type="spellEnd"/>
      <w:r>
        <w:rPr>
          <w:rFonts w:ascii="Times New Roman" w:hAnsi="Times New Roman" w:cs="Garamond"/>
        </w:rPr>
        <w:t xml:space="preserve"> </w:t>
      </w:r>
      <w:proofErr w:type="spellStart"/>
      <w:r>
        <w:rPr>
          <w:rFonts w:ascii="Times New Roman" w:hAnsi="Times New Roman" w:cs="Garamond"/>
        </w:rPr>
        <w:t>K</w:t>
      </w:r>
      <w:proofErr w:type="gramStart"/>
      <w:r>
        <w:rPr>
          <w:rFonts w:ascii="Times New Roman" w:hAnsi="Times New Roman" w:cs="Garamond"/>
        </w:rPr>
        <w:t>.Rugási</w:t>
      </w:r>
      <w:proofErr w:type="spellEnd"/>
      <w:proofErr w:type="gramEnd"/>
      <w:r>
        <w:rPr>
          <w:rFonts w:ascii="Times New Roman" w:hAnsi="Times New Roman" w:cs="Garamond"/>
        </w:rPr>
        <w:t xml:space="preserve"> </w:t>
      </w:r>
      <w:proofErr w:type="spellStart"/>
      <w:r>
        <w:rPr>
          <w:rFonts w:ascii="Times New Roman" w:hAnsi="Times New Roman" w:cs="Garamond"/>
        </w:rPr>
        <w:t>Gy</w:t>
      </w:r>
      <w:proofErr w:type="spellEnd"/>
      <w:r>
        <w:rPr>
          <w:rFonts w:ascii="Times New Roman" w:hAnsi="Times New Roman" w:cs="Garamond"/>
        </w:rPr>
        <w:t xml:space="preserve">.: Jézus rejtett szavai. Holnap, Bp. </w:t>
      </w:r>
      <w:r>
        <w:rPr>
          <w:rFonts w:ascii="Times New Roman" w:hAnsi="Times New Roman" w:cs="Garamond"/>
        </w:rPr>
        <w:t>1990</w:t>
      </w:r>
    </w:p>
    <w:p w:rsidR="00A11532" w:rsidRDefault="00A0092A">
      <w:pPr>
        <w:pStyle w:val="Szvegtrzs"/>
        <w:spacing w:line="360" w:lineRule="auto"/>
        <w:jc w:val="both"/>
      </w:pPr>
      <w:r>
        <w:rPr>
          <w:rFonts w:ascii="Times New Roman" w:hAnsi="Times New Roman" w:cs="Garamond"/>
        </w:rPr>
        <w:t xml:space="preserve">Luft U. (szerk.) Istenek, szentek, démonok Egyiptomban. </w:t>
      </w:r>
      <w:proofErr w:type="spellStart"/>
      <w:r>
        <w:rPr>
          <w:rFonts w:ascii="Times New Roman" w:hAnsi="Times New Roman" w:cs="Garamond"/>
        </w:rPr>
        <w:t>Kairosz</w:t>
      </w:r>
      <w:proofErr w:type="spellEnd"/>
      <w:r>
        <w:rPr>
          <w:rFonts w:ascii="Times New Roman" w:hAnsi="Times New Roman" w:cs="Garamond"/>
        </w:rPr>
        <w:t>, Bp. 2003</w:t>
      </w:r>
    </w:p>
    <w:p w:rsidR="00A11532" w:rsidRDefault="00A0092A">
      <w:pPr>
        <w:pStyle w:val="Szvegtrzs"/>
        <w:spacing w:line="360" w:lineRule="auto"/>
      </w:pPr>
      <w:r>
        <w:rPr>
          <w:rFonts w:ascii="Times New Roman" w:hAnsi="Times New Roman"/>
        </w:rPr>
        <w:t xml:space="preserve">Simon R.-Simonné </w:t>
      </w:r>
      <w:proofErr w:type="spellStart"/>
      <w:r>
        <w:rPr>
          <w:rFonts w:ascii="Times New Roman" w:hAnsi="Times New Roman"/>
        </w:rPr>
        <w:t>Pesthy</w:t>
      </w:r>
      <w:proofErr w:type="spellEnd"/>
      <w:r>
        <w:rPr>
          <w:rFonts w:ascii="Times New Roman" w:hAnsi="Times New Roman"/>
        </w:rPr>
        <w:t xml:space="preserve"> M.: Mani és a fény vallása. Corvina, Bp. 2011</w:t>
      </w:r>
    </w:p>
    <w:p w:rsidR="00A11532" w:rsidRDefault="00A0092A">
      <w:pPr>
        <w:pStyle w:val="Szvegtrzs"/>
        <w:rPr>
          <w:rFonts w:ascii="Times New Roman" w:hAnsi="Times New Roman"/>
        </w:rPr>
      </w:pPr>
      <w:r>
        <w:rPr>
          <w:rFonts w:ascii="Times New Roman" w:hAnsi="Times New Roman"/>
        </w:rPr>
        <w:t>Somos, R</w:t>
      </w:r>
      <w:proofErr w:type="gramStart"/>
      <w:r>
        <w:rPr>
          <w:rFonts w:ascii="Times New Roman" w:hAnsi="Times New Roman"/>
        </w:rPr>
        <w:t>.:</w:t>
      </w:r>
      <w:proofErr w:type="gramEnd"/>
      <w:r>
        <w:rPr>
          <w:rFonts w:ascii="Times New Roman" w:hAnsi="Times New Roman"/>
        </w:rPr>
        <w:t xml:space="preserve"> Az alexandriai teológia </w:t>
      </w:r>
      <w:proofErr w:type="spellStart"/>
      <w:r>
        <w:rPr>
          <w:rFonts w:ascii="Times New Roman" w:hAnsi="Times New Roman"/>
        </w:rPr>
        <w:t>Kairosz</w:t>
      </w:r>
      <w:proofErr w:type="spellEnd"/>
      <w:r>
        <w:rPr>
          <w:rFonts w:ascii="Times New Roman" w:hAnsi="Times New Roman"/>
        </w:rPr>
        <w:t>, Bp. 2001</w:t>
      </w:r>
    </w:p>
    <w:p w:rsidR="00A11532" w:rsidRDefault="00A0092A">
      <w:pPr>
        <w:pStyle w:val="Szvegtrzs"/>
        <w:spacing w:line="360" w:lineRule="auto"/>
        <w:jc w:val="both"/>
      </w:pPr>
      <w:proofErr w:type="spellStart"/>
      <w:r>
        <w:rPr>
          <w:rFonts w:ascii="Times New Roman" w:hAnsi="Times New Roman" w:cs="Garamond"/>
        </w:rPr>
        <w:t>Stead</w:t>
      </w:r>
      <w:proofErr w:type="spellEnd"/>
      <w:r>
        <w:rPr>
          <w:rFonts w:ascii="Times New Roman" w:hAnsi="Times New Roman" w:cs="Garamond"/>
        </w:rPr>
        <w:t xml:space="preserve">, </w:t>
      </w:r>
      <w:proofErr w:type="gramStart"/>
      <w:r>
        <w:rPr>
          <w:rFonts w:ascii="Times New Roman" w:hAnsi="Times New Roman" w:cs="Garamond"/>
        </w:rPr>
        <w:t>A</w:t>
      </w:r>
      <w:proofErr w:type="gramEnd"/>
      <w:r>
        <w:rPr>
          <w:rFonts w:ascii="Times New Roman" w:hAnsi="Times New Roman" w:cs="Garamond"/>
        </w:rPr>
        <w:t xml:space="preserve"> keresztény filozófia az ókorban. Osiris, Bp. </w:t>
      </w:r>
      <w:r>
        <w:rPr>
          <w:rFonts w:ascii="Times New Roman" w:hAnsi="Times New Roman" w:cs="Garamond"/>
        </w:rPr>
        <w:t>2000</w:t>
      </w:r>
    </w:p>
    <w:p w:rsidR="00A11532" w:rsidRDefault="00A0092A">
      <w:pPr>
        <w:pStyle w:val="Szvegtrzs"/>
        <w:spacing w:line="360" w:lineRule="auto"/>
        <w:jc w:val="both"/>
      </w:pPr>
      <w:proofErr w:type="spellStart"/>
      <w:r>
        <w:rPr>
          <w:rFonts w:ascii="Times New Roman" w:hAnsi="Times New Roman" w:cs="Garamond"/>
        </w:rPr>
        <w:t>Vanyó</w:t>
      </w:r>
      <w:proofErr w:type="spellEnd"/>
      <w:r>
        <w:rPr>
          <w:rFonts w:ascii="Times New Roman" w:hAnsi="Times New Roman" w:cs="Garamond"/>
        </w:rPr>
        <w:t xml:space="preserve"> L.: Bevezetés az ókeresztény kor dogmatörténetébe. Szent István Társulat, Bp., 1998 </w:t>
      </w:r>
    </w:p>
    <w:p w:rsidR="00A11532" w:rsidRDefault="00A0092A">
      <w:pPr>
        <w:pStyle w:val="Szvegtrzs"/>
        <w:spacing w:line="360" w:lineRule="auto"/>
        <w:jc w:val="both"/>
      </w:pPr>
      <w:proofErr w:type="spellStart"/>
      <w:r>
        <w:rPr>
          <w:rFonts w:ascii="Times New Roman" w:hAnsi="Times New Roman" w:cs="Garamond"/>
        </w:rPr>
        <w:t>Vanyó</w:t>
      </w:r>
      <w:proofErr w:type="spellEnd"/>
      <w:r>
        <w:rPr>
          <w:rFonts w:ascii="Times New Roman" w:hAnsi="Times New Roman" w:cs="Garamond"/>
        </w:rPr>
        <w:t>, L.: Az ókeresztény egyház irodalma I Jel, Bp. 2000</w:t>
      </w:r>
    </w:p>
    <w:sectPr w:rsidR="00A1153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2A" w:rsidRDefault="00A0092A">
      <w:r>
        <w:separator/>
      </w:r>
    </w:p>
  </w:endnote>
  <w:endnote w:type="continuationSeparator" w:id="0">
    <w:p w:rsidR="00A0092A" w:rsidRDefault="00A0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2" w:rsidRDefault="00A0092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765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2A" w:rsidRDefault="00A0092A">
      <w:r>
        <w:separator/>
      </w:r>
    </w:p>
  </w:footnote>
  <w:footnote w:type="continuationSeparator" w:id="0">
    <w:p w:rsidR="00A0092A" w:rsidRDefault="00A0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2E1"/>
    <w:multiLevelType w:val="multilevel"/>
    <w:tmpl w:val="AF6A09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82B60A2"/>
    <w:multiLevelType w:val="multilevel"/>
    <w:tmpl w:val="F13079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2"/>
    <w:rsid w:val="00176503"/>
    <w:rsid w:val="00A0092A"/>
    <w:rsid w:val="00A1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color w:val="00000A"/>
      <w:sz w:val="24"/>
    </w:rPr>
  </w:style>
  <w:style w:type="paragraph" w:styleId="Cmsor4">
    <w:name w:val="heading 4"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pPr>
      <w:widowControl w:val="0"/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Alaprtelmezett">
    <w:name w:val="Alapértelmezett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color w:val="00000A"/>
      <w:sz w:val="24"/>
    </w:rPr>
  </w:style>
  <w:style w:type="paragraph" w:styleId="Cmsor4">
    <w:name w:val="heading 4"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pPr>
      <w:widowControl w:val="0"/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Alaprtelmezett">
    <w:name w:val="Alapértelmezett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Ötvös</dc:creator>
  <cp:lastModifiedBy>Lilla</cp:lastModifiedBy>
  <cp:revision>2</cp:revision>
  <dcterms:created xsi:type="dcterms:W3CDTF">2015-11-03T10:56:00Z</dcterms:created>
  <dcterms:modified xsi:type="dcterms:W3CDTF">2015-11-03T10:56:00Z</dcterms:modified>
  <dc:language>hu-HU</dc:language>
</cp:coreProperties>
</file>